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F85EB" w14:textId="04F45703" w:rsidR="007F50EA" w:rsidRPr="006156ED" w:rsidRDefault="003B073A" w:rsidP="003B073A">
      <w:pPr>
        <w:widowControl w:val="0"/>
        <w:tabs>
          <w:tab w:val="left" w:pos="9360"/>
        </w:tabs>
        <w:jc w:val="center"/>
        <w:rPr>
          <w:b/>
        </w:rPr>
      </w:pPr>
      <w:bookmarkStart w:id="0" w:name="_GoBack"/>
      <w:bookmarkEnd w:id="0"/>
      <w:r w:rsidRPr="006156ED">
        <w:rPr>
          <w:b/>
        </w:rPr>
        <w:t>MULTIFAMILY HOUSING TRANSFER AND</w:t>
      </w:r>
      <w:r w:rsidR="007F50EA" w:rsidRPr="006156ED">
        <w:rPr>
          <w:b/>
        </w:rPr>
        <w:t xml:space="preserve"> </w:t>
      </w:r>
      <w:r w:rsidRPr="006156ED">
        <w:rPr>
          <w:b/>
        </w:rPr>
        <w:t xml:space="preserve">PREPAYMENT </w:t>
      </w:r>
    </w:p>
    <w:p w14:paraId="7AE5BEBE" w14:textId="14BEC09A" w:rsidR="003B073A" w:rsidRPr="006156ED" w:rsidRDefault="003B073A" w:rsidP="003B073A">
      <w:pPr>
        <w:widowControl w:val="0"/>
        <w:tabs>
          <w:tab w:val="left" w:pos="9360"/>
        </w:tabs>
        <w:jc w:val="center"/>
        <w:rPr>
          <w:b/>
        </w:rPr>
      </w:pPr>
      <w:r w:rsidRPr="006156ED">
        <w:rPr>
          <w:b/>
        </w:rPr>
        <w:t>TECHNICAL ASSISTANCE SERVICES</w:t>
      </w:r>
    </w:p>
    <w:p w14:paraId="5AD37555" w14:textId="77777777" w:rsidR="003B073A" w:rsidRPr="006156ED" w:rsidRDefault="003B073A" w:rsidP="003B073A">
      <w:pPr>
        <w:widowControl w:val="0"/>
      </w:pPr>
    </w:p>
    <w:p w14:paraId="7CCB89B6" w14:textId="2151BFBA" w:rsidR="003B073A" w:rsidRPr="006156ED" w:rsidRDefault="003B073A" w:rsidP="003B073A">
      <w:pPr>
        <w:widowControl w:val="0"/>
      </w:pPr>
      <w:r w:rsidRPr="006156ED">
        <w:t>Technical Assistance Services provided by Tierra del Sol Housing Corporation may include</w:t>
      </w:r>
      <w:r w:rsidR="007F50EA" w:rsidRPr="006156ED">
        <w:t xml:space="preserve"> </w:t>
      </w:r>
      <w:r w:rsidRPr="006156ED">
        <w:t xml:space="preserve">the following </w:t>
      </w:r>
      <w:r w:rsidR="007F50EA" w:rsidRPr="006156ED">
        <w:t xml:space="preserve">services.  Individual technical assistance plans are determined by TDS </w:t>
      </w:r>
      <w:r w:rsidRPr="006156ED">
        <w:t xml:space="preserve">and the TA recipient. </w:t>
      </w:r>
    </w:p>
    <w:p w14:paraId="057D86B3" w14:textId="3BA53FF8" w:rsidR="009E50A6" w:rsidRPr="006156ED" w:rsidRDefault="009E50A6" w:rsidP="003B073A">
      <w:pPr>
        <w:widowControl w:val="0"/>
      </w:pPr>
    </w:p>
    <w:p w14:paraId="2E9DC467" w14:textId="26C35567" w:rsidR="009E50A6" w:rsidRPr="006156ED" w:rsidRDefault="009E50A6" w:rsidP="009E50A6">
      <w:pPr>
        <w:pStyle w:val="ListParagraph"/>
        <w:widowControl w:val="0"/>
        <w:numPr>
          <w:ilvl w:val="0"/>
          <w:numId w:val="1"/>
        </w:numPr>
        <w:ind w:left="360"/>
      </w:pPr>
      <w:r w:rsidRPr="006156ED">
        <w:t>Assess the eligibility, capacity, qualifications and technical assistance needs of the TA recipient</w:t>
      </w:r>
      <w:r w:rsidR="00646639" w:rsidRPr="006156ED">
        <w:t xml:space="preserve"> as a nonprofit organization or PHA:</w:t>
      </w:r>
    </w:p>
    <w:p w14:paraId="3CBF34F9" w14:textId="77777777" w:rsidR="00646639" w:rsidRPr="006156ED" w:rsidRDefault="00646639" w:rsidP="00646639">
      <w:pPr>
        <w:pStyle w:val="ListParagraph"/>
        <w:numPr>
          <w:ilvl w:val="0"/>
          <w:numId w:val="2"/>
        </w:numPr>
      </w:pPr>
      <w:r w:rsidRPr="006156ED">
        <w:t>Organizational capacity by reviewing staff and board resumes</w:t>
      </w:r>
    </w:p>
    <w:p w14:paraId="5ACA108B" w14:textId="2742BE1B" w:rsidR="00646639" w:rsidRPr="006156ED" w:rsidRDefault="00646639" w:rsidP="00646639">
      <w:pPr>
        <w:pStyle w:val="ListParagraph"/>
        <w:numPr>
          <w:ilvl w:val="0"/>
          <w:numId w:val="2"/>
        </w:numPr>
      </w:pPr>
      <w:r w:rsidRPr="006156ED">
        <w:t>Familiarity with USDA,  Handbooks, and Section 515</w:t>
      </w:r>
    </w:p>
    <w:p w14:paraId="6340C16F" w14:textId="5ECD8525" w:rsidR="00646639" w:rsidRPr="006156ED" w:rsidRDefault="00646639" w:rsidP="00646639">
      <w:pPr>
        <w:pStyle w:val="ListParagraph"/>
        <w:numPr>
          <w:ilvl w:val="0"/>
          <w:numId w:val="2"/>
        </w:numPr>
      </w:pPr>
      <w:r w:rsidRPr="006156ED">
        <w:t>The Section 515 transfer process</w:t>
      </w:r>
    </w:p>
    <w:p w14:paraId="60F46B70" w14:textId="5E460F30" w:rsidR="00646639" w:rsidRPr="006156ED" w:rsidRDefault="00646639" w:rsidP="00646639">
      <w:pPr>
        <w:pStyle w:val="ListParagraph"/>
        <w:numPr>
          <w:ilvl w:val="0"/>
          <w:numId w:val="2"/>
        </w:numPr>
      </w:pPr>
      <w:r w:rsidRPr="006156ED">
        <w:t xml:space="preserve">Construction management experience </w:t>
      </w:r>
    </w:p>
    <w:p w14:paraId="41CE8ACF" w14:textId="77777777" w:rsidR="00646639" w:rsidRPr="006156ED" w:rsidRDefault="00646639" w:rsidP="00646639">
      <w:pPr>
        <w:pStyle w:val="ListParagraph"/>
        <w:numPr>
          <w:ilvl w:val="0"/>
          <w:numId w:val="2"/>
        </w:numPr>
      </w:pPr>
      <w:r w:rsidRPr="006156ED">
        <w:t>Property management experience and capacity</w:t>
      </w:r>
    </w:p>
    <w:p w14:paraId="17861D2E" w14:textId="0D314779" w:rsidR="00646639" w:rsidRPr="006156ED" w:rsidRDefault="00646639" w:rsidP="00646639">
      <w:pPr>
        <w:pStyle w:val="ListParagraph"/>
        <w:numPr>
          <w:ilvl w:val="0"/>
          <w:numId w:val="2"/>
        </w:numPr>
      </w:pPr>
      <w:r w:rsidRPr="006156ED">
        <w:t>Financial capacity of the organization by reviewing audits and financial statements</w:t>
      </w:r>
    </w:p>
    <w:p w14:paraId="60075228" w14:textId="36F13D61" w:rsidR="00646639" w:rsidRPr="006156ED" w:rsidRDefault="00646639" w:rsidP="00646639">
      <w:pPr>
        <w:pStyle w:val="ListParagraph"/>
        <w:numPr>
          <w:ilvl w:val="0"/>
          <w:numId w:val="2"/>
        </w:numPr>
      </w:pPr>
      <w:r w:rsidRPr="006156ED">
        <w:t>Capacity for paying up-front pre-transfer soft costs, meeting down payment requirements (at least 10% of the remaining loan balance to be assumed), and for operating the project long-term</w:t>
      </w:r>
    </w:p>
    <w:p w14:paraId="12E6AFC1" w14:textId="79CB4DBF" w:rsidR="00646639" w:rsidRPr="006156ED" w:rsidRDefault="00646639" w:rsidP="00646639">
      <w:pPr>
        <w:pStyle w:val="ListParagraph"/>
        <w:numPr>
          <w:ilvl w:val="0"/>
          <w:numId w:val="2"/>
        </w:numPr>
      </w:pPr>
      <w:r w:rsidRPr="006156ED">
        <w:t>Experience in securing leveraged funds</w:t>
      </w:r>
    </w:p>
    <w:p w14:paraId="3F58DA6D" w14:textId="77777777" w:rsidR="00646639" w:rsidRPr="006156ED" w:rsidRDefault="00646639" w:rsidP="009C6BEC">
      <w:pPr>
        <w:pStyle w:val="ListParagraph"/>
        <w:widowControl w:val="0"/>
      </w:pPr>
    </w:p>
    <w:p w14:paraId="701FA387" w14:textId="2C987FEB" w:rsidR="007F50EA" w:rsidRPr="006156ED" w:rsidRDefault="009C6BEC" w:rsidP="007F50EA">
      <w:pPr>
        <w:pStyle w:val="ListParagraph"/>
        <w:widowControl w:val="0"/>
        <w:numPr>
          <w:ilvl w:val="0"/>
          <w:numId w:val="5"/>
        </w:numPr>
        <w:ind w:left="360"/>
      </w:pPr>
      <w:r w:rsidRPr="006156ED">
        <w:t>I</w:t>
      </w:r>
      <w:r w:rsidR="009E50A6" w:rsidRPr="006156ED">
        <w:t xml:space="preserve">dentify potential 515 properties with maturing mortgages for transfer </w:t>
      </w:r>
    </w:p>
    <w:p w14:paraId="2A63C61E" w14:textId="77777777" w:rsidR="007F50EA" w:rsidRPr="006156ED" w:rsidRDefault="007F50EA" w:rsidP="007F50EA">
      <w:pPr>
        <w:pStyle w:val="ListParagraph"/>
        <w:widowControl w:val="0"/>
        <w:ind w:left="360"/>
      </w:pPr>
    </w:p>
    <w:p w14:paraId="7583AEA4" w14:textId="57CFB82C" w:rsidR="007F50EA" w:rsidRPr="006156ED" w:rsidRDefault="007F50EA" w:rsidP="009C6BEC">
      <w:pPr>
        <w:pStyle w:val="ListParagraph"/>
        <w:widowControl w:val="0"/>
        <w:numPr>
          <w:ilvl w:val="0"/>
          <w:numId w:val="1"/>
        </w:numPr>
        <w:ind w:left="360"/>
      </w:pPr>
      <w:r w:rsidRPr="006156ED">
        <w:t>Guidance on financing options available through RD such as mortgage write downs, new RD loan, or loan guarantee</w:t>
      </w:r>
    </w:p>
    <w:p w14:paraId="56D94DB8" w14:textId="77777777" w:rsidR="007F50EA" w:rsidRPr="006156ED" w:rsidRDefault="007F50EA" w:rsidP="007F50EA">
      <w:pPr>
        <w:pStyle w:val="ListParagraph"/>
        <w:widowControl w:val="0"/>
        <w:ind w:left="360"/>
      </w:pPr>
    </w:p>
    <w:p w14:paraId="20CA9F81" w14:textId="2DD8E987" w:rsidR="009C6BEC" w:rsidRPr="006156ED" w:rsidRDefault="009C6BEC" w:rsidP="009C6BEC">
      <w:pPr>
        <w:pStyle w:val="ListParagraph"/>
        <w:widowControl w:val="0"/>
        <w:numPr>
          <w:ilvl w:val="0"/>
          <w:numId w:val="1"/>
        </w:numPr>
        <w:ind w:left="360"/>
      </w:pPr>
      <w:r w:rsidRPr="006156ED">
        <w:t>Property n</w:t>
      </w:r>
      <w:r w:rsidR="009E50A6" w:rsidRPr="006156ED">
        <w:t>egotiations</w:t>
      </w:r>
    </w:p>
    <w:p w14:paraId="35C270B5" w14:textId="77777777" w:rsidR="009C6BEC" w:rsidRPr="006156ED" w:rsidRDefault="009C6BEC" w:rsidP="009C6BEC">
      <w:pPr>
        <w:pStyle w:val="ListParagraph"/>
      </w:pPr>
    </w:p>
    <w:p w14:paraId="47423D7A" w14:textId="72366F99" w:rsidR="00782566" w:rsidRPr="006156ED" w:rsidRDefault="009C6BEC" w:rsidP="009C6BEC">
      <w:pPr>
        <w:pStyle w:val="ListParagraph"/>
        <w:numPr>
          <w:ilvl w:val="0"/>
          <w:numId w:val="1"/>
        </w:numPr>
        <w:ind w:left="360"/>
      </w:pPr>
      <w:r w:rsidRPr="006156ED">
        <w:t>Tr</w:t>
      </w:r>
      <w:r w:rsidR="009E50A6" w:rsidRPr="006156ED">
        <w:t>ansfer analysis</w:t>
      </w:r>
      <w:r w:rsidRPr="006156ED">
        <w:t xml:space="preserve"> and</w:t>
      </w:r>
      <w:r w:rsidR="009E50A6" w:rsidRPr="006156ED">
        <w:t xml:space="preserve"> underwriting</w:t>
      </w:r>
      <w:r w:rsidRPr="006156ED">
        <w:t xml:space="preserve"> </w:t>
      </w:r>
      <w:r w:rsidR="007F50EA" w:rsidRPr="006156ED">
        <w:t>requirements</w:t>
      </w:r>
    </w:p>
    <w:p w14:paraId="533D4996" w14:textId="77777777" w:rsidR="00782566" w:rsidRPr="006156ED" w:rsidRDefault="00782566" w:rsidP="00782566">
      <w:pPr>
        <w:pStyle w:val="ListParagraph"/>
      </w:pPr>
    </w:p>
    <w:p w14:paraId="0B4062D6" w14:textId="080BD81C" w:rsidR="009C6BEC" w:rsidRPr="006156ED" w:rsidRDefault="00782566" w:rsidP="009C6BEC">
      <w:pPr>
        <w:pStyle w:val="ListParagraph"/>
        <w:numPr>
          <w:ilvl w:val="0"/>
          <w:numId w:val="1"/>
        </w:numPr>
        <w:ind w:left="360"/>
      </w:pPr>
      <w:r w:rsidRPr="006156ED">
        <w:t xml:space="preserve">Preparation and analysis of </w:t>
      </w:r>
      <w:r w:rsidR="009C6BEC" w:rsidRPr="006156ED">
        <w:t xml:space="preserve">market studies, appraisals, Capital Needs Assessments, </w:t>
      </w:r>
      <w:r w:rsidRPr="006156ED">
        <w:t xml:space="preserve">Phase I/Class I environmental reports, </w:t>
      </w:r>
      <w:r w:rsidR="009C6BEC" w:rsidRPr="006156ED">
        <w:t xml:space="preserve">legal and financial documents, </w:t>
      </w:r>
      <w:r w:rsidRPr="006156ED">
        <w:t xml:space="preserve">and </w:t>
      </w:r>
      <w:r w:rsidR="009C6BEC" w:rsidRPr="006156ED">
        <w:t xml:space="preserve">transaction structuring analysis  </w:t>
      </w:r>
    </w:p>
    <w:p w14:paraId="33941682" w14:textId="77777777" w:rsidR="009C6BEC" w:rsidRPr="006156ED" w:rsidRDefault="009C6BEC" w:rsidP="009C6BEC">
      <w:pPr>
        <w:pStyle w:val="ListParagraph"/>
      </w:pPr>
    </w:p>
    <w:p w14:paraId="281C326B" w14:textId="76E7A212" w:rsidR="00782566" w:rsidRPr="006156ED" w:rsidRDefault="00782566" w:rsidP="00782566">
      <w:pPr>
        <w:pStyle w:val="ListParagraph"/>
        <w:widowControl w:val="0"/>
        <w:numPr>
          <w:ilvl w:val="0"/>
          <w:numId w:val="1"/>
        </w:numPr>
        <w:ind w:left="360"/>
      </w:pPr>
      <w:r w:rsidRPr="006156ED">
        <w:t>Develop property management plans</w:t>
      </w:r>
    </w:p>
    <w:p w14:paraId="35362CE8" w14:textId="77777777" w:rsidR="00782566" w:rsidRPr="006156ED" w:rsidRDefault="00782566" w:rsidP="00782566">
      <w:pPr>
        <w:pStyle w:val="ListParagraph"/>
      </w:pPr>
    </w:p>
    <w:p w14:paraId="2DE3C78E" w14:textId="77777777" w:rsidR="00782566" w:rsidRPr="006156ED" w:rsidRDefault="00782566" w:rsidP="00782566">
      <w:pPr>
        <w:pStyle w:val="ListParagraph"/>
        <w:widowControl w:val="0"/>
        <w:numPr>
          <w:ilvl w:val="0"/>
          <w:numId w:val="1"/>
        </w:numPr>
        <w:ind w:left="360"/>
      </w:pPr>
      <w:r w:rsidRPr="006156ED">
        <w:t xml:space="preserve">Third party financing to identify sources, provide guidance on preparing loan and grant applications, affordability periods, sources and uses, and structuring the timing of the investment. </w:t>
      </w:r>
    </w:p>
    <w:p w14:paraId="166B6143" w14:textId="77777777" w:rsidR="00782566" w:rsidRPr="006156ED" w:rsidRDefault="00782566" w:rsidP="00782566">
      <w:pPr>
        <w:pStyle w:val="ListParagraph"/>
      </w:pPr>
    </w:p>
    <w:p w14:paraId="210EDC03" w14:textId="7BFA260D" w:rsidR="009C6BEC" w:rsidRPr="006156ED" w:rsidRDefault="00782566" w:rsidP="009C6BEC">
      <w:pPr>
        <w:pStyle w:val="ListParagraph"/>
        <w:widowControl w:val="0"/>
        <w:numPr>
          <w:ilvl w:val="0"/>
          <w:numId w:val="1"/>
        </w:numPr>
        <w:ind w:left="360"/>
      </w:pPr>
      <w:r w:rsidRPr="006156ED">
        <w:t>Guidance on negotiating with lenders, analyzing financing costs, meeting closing requirements, determining construction draw schedules,</w:t>
      </w:r>
    </w:p>
    <w:p w14:paraId="0598C617" w14:textId="77777777" w:rsidR="00782566" w:rsidRPr="006156ED" w:rsidRDefault="00782566" w:rsidP="00782566">
      <w:pPr>
        <w:pStyle w:val="ListParagraph"/>
      </w:pPr>
    </w:p>
    <w:p w14:paraId="090794C3" w14:textId="054F4845" w:rsidR="009C6BEC" w:rsidRPr="006156ED" w:rsidRDefault="009C6BEC" w:rsidP="00782566">
      <w:pPr>
        <w:pStyle w:val="ListParagraph"/>
        <w:widowControl w:val="0"/>
        <w:numPr>
          <w:ilvl w:val="0"/>
          <w:numId w:val="1"/>
        </w:numPr>
        <w:ind w:left="360"/>
      </w:pPr>
      <w:r w:rsidRPr="006156ED">
        <w:t>Prepar</w:t>
      </w:r>
      <w:r w:rsidR="006156ED" w:rsidRPr="006156ED">
        <w:t>e</w:t>
      </w:r>
      <w:r w:rsidRPr="006156ED">
        <w:t xml:space="preserve"> </w:t>
      </w:r>
      <w:r w:rsidR="009E50A6" w:rsidRPr="006156ED">
        <w:t>Attachment 7-B-1 Application Checklist</w:t>
      </w:r>
    </w:p>
    <w:p w14:paraId="112049F4" w14:textId="77777777" w:rsidR="009C6BEC" w:rsidRPr="006156ED" w:rsidRDefault="009C6BEC" w:rsidP="009C6BEC">
      <w:pPr>
        <w:pStyle w:val="ListParagraph"/>
      </w:pPr>
    </w:p>
    <w:p w14:paraId="7C4D22D1" w14:textId="70B09A20" w:rsidR="009C6BEC" w:rsidRPr="006156ED" w:rsidRDefault="009C6BEC" w:rsidP="00782566">
      <w:pPr>
        <w:pStyle w:val="ListParagraph"/>
        <w:widowControl w:val="0"/>
        <w:numPr>
          <w:ilvl w:val="0"/>
          <w:numId w:val="1"/>
        </w:numPr>
        <w:ind w:left="360" w:hanging="540"/>
      </w:pPr>
      <w:r w:rsidRPr="006156ED">
        <w:t>S</w:t>
      </w:r>
      <w:r w:rsidR="009E50A6" w:rsidRPr="006156ED">
        <w:t>ecur</w:t>
      </w:r>
      <w:r w:rsidR="006156ED" w:rsidRPr="006156ED">
        <w:t>e</w:t>
      </w:r>
      <w:r w:rsidR="009E50A6" w:rsidRPr="006156ED">
        <w:t xml:space="preserve"> RD approvals to transfer the property </w:t>
      </w:r>
    </w:p>
    <w:p w14:paraId="6AEBD0B8" w14:textId="77777777" w:rsidR="009C6BEC" w:rsidRPr="006156ED" w:rsidRDefault="009C6BEC" w:rsidP="009C6BEC">
      <w:pPr>
        <w:pStyle w:val="ListParagraph"/>
      </w:pPr>
    </w:p>
    <w:p w14:paraId="106B2384" w14:textId="77777777" w:rsidR="00782566" w:rsidRPr="006156ED" w:rsidRDefault="00782566" w:rsidP="00782566">
      <w:pPr>
        <w:pStyle w:val="ListParagraph"/>
        <w:widowControl w:val="0"/>
        <w:numPr>
          <w:ilvl w:val="0"/>
          <w:numId w:val="1"/>
        </w:numPr>
        <w:ind w:left="360" w:hanging="540"/>
      </w:pPr>
      <w:r w:rsidRPr="006156ED">
        <w:t>The transfer application and loan closing process</w:t>
      </w:r>
    </w:p>
    <w:p w14:paraId="617C776D" w14:textId="77777777" w:rsidR="009C6BEC" w:rsidRPr="006156ED" w:rsidRDefault="009C6BEC" w:rsidP="009C6BEC">
      <w:pPr>
        <w:pStyle w:val="ListParagraph"/>
      </w:pPr>
    </w:p>
    <w:p w14:paraId="4B2B78DD" w14:textId="1CBC4BC9" w:rsidR="009C6BEC" w:rsidRPr="006156ED" w:rsidRDefault="009C6BEC" w:rsidP="00782566">
      <w:pPr>
        <w:pStyle w:val="ListParagraph"/>
        <w:widowControl w:val="0"/>
        <w:numPr>
          <w:ilvl w:val="0"/>
          <w:numId w:val="1"/>
        </w:numPr>
        <w:ind w:left="360" w:hanging="540"/>
      </w:pPr>
      <w:r w:rsidRPr="006156ED">
        <w:t>Coordinat</w:t>
      </w:r>
      <w:r w:rsidR="006156ED" w:rsidRPr="006156ED">
        <w:t>e</w:t>
      </w:r>
      <w:r w:rsidRPr="006156ED">
        <w:t xml:space="preserve"> </w:t>
      </w:r>
      <w:r w:rsidR="00782566" w:rsidRPr="006156ED">
        <w:t xml:space="preserve">loan </w:t>
      </w:r>
      <w:r w:rsidRPr="006156ED">
        <w:t>closing activities</w:t>
      </w:r>
    </w:p>
    <w:p w14:paraId="43710292" w14:textId="77777777" w:rsidR="009C6BEC" w:rsidRPr="006156ED" w:rsidRDefault="009C6BEC" w:rsidP="009C6BEC">
      <w:pPr>
        <w:pStyle w:val="ListParagraph"/>
        <w:widowControl w:val="0"/>
        <w:ind w:left="360"/>
      </w:pPr>
    </w:p>
    <w:p w14:paraId="3A52E398" w14:textId="7EA804E2" w:rsidR="007F50EA" w:rsidRPr="006156ED" w:rsidRDefault="009E50A6" w:rsidP="007F50EA">
      <w:pPr>
        <w:pStyle w:val="ListParagraph"/>
        <w:widowControl w:val="0"/>
        <w:numPr>
          <w:ilvl w:val="0"/>
          <w:numId w:val="1"/>
        </w:numPr>
        <w:ind w:left="360" w:hanging="540"/>
      </w:pPr>
      <w:r w:rsidRPr="006156ED">
        <w:t>Manag</w:t>
      </w:r>
      <w:r w:rsidR="006156ED" w:rsidRPr="006156ED">
        <w:t>e</w:t>
      </w:r>
      <w:r w:rsidRPr="006156ED">
        <w:t xml:space="preserve"> the construction or rehab process </w:t>
      </w:r>
      <w:r w:rsidR="00782566" w:rsidRPr="006156ED">
        <w:t xml:space="preserve">and </w:t>
      </w:r>
      <w:r w:rsidR="007F50EA" w:rsidRPr="006156ED">
        <w:t xml:space="preserve">completing </w:t>
      </w:r>
      <w:r w:rsidR="00782566" w:rsidRPr="006156ED">
        <w:t>the construction certification process.</w:t>
      </w:r>
    </w:p>
    <w:p w14:paraId="1E28921F" w14:textId="77777777" w:rsidR="007F50EA" w:rsidRPr="006156ED" w:rsidRDefault="007F50EA" w:rsidP="007F50EA">
      <w:pPr>
        <w:pStyle w:val="ListParagraph"/>
      </w:pPr>
    </w:p>
    <w:p w14:paraId="7521975E" w14:textId="4F1EF6AC" w:rsidR="002B0D3B" w:rsidRPr="006156ED" w:rsidRDefault="007F50EA" w:rsidP="007F50EA">
      <w:pPr>
        <w:pStyle w:val="ListParagraph"/>
        <w:widowControl w:val="0"/>
        <w:numPr>
          <w:ilvl w:val="0"/>
          <w:numId w:val="1"/>
        </w:numPr>
        <w:ind w:left="360" w:hanging="540"/>
      </w:pPr>
      <w:r w:rsidRPr="006156ED">
        <w:t>Understand and us</w:t>
      </w:r>
      <w:r w:rsidR="006156ED" w:rsidRPr="006156ED">
        <w:t>e</w:t>
      </w:r>
      <w:r w:rsidRPr="006156ED">
        <w:t xml:space="preserve"> the </w:t>
      </w:r>
      <w:r w:rsidR="009E50A6" w:rsidRPr="006156ED">
        <w:t>3560 Handbook Part 1, 2, and 3</w:t>
      </w:r>
    </w:p>
    <w:p w14:paraId="0C60136B" w14:textId="78F0A16A" w:rsidR="009E50A6" w:rsidRPr="006156ED" w:rsidRDefault="009E50A6" w:rsidP="009E50A6">
      <w:pPr>
        <w:widowControl w:val="0"/>
      </w:pPr>
    </w:p>
    <w:p w14:paraId="4215775C" w14:textId="53A50AB9" w:rsidR="009E50A6" w:rsidRPr="006156ED" w:rsidRDefault="009E50A6" w:rsidP="007F50EA">
      <w:pPr>
        <w:pStyle w:val="ListParagraph"/>
        <w:widowControl w:val="0"/>
        <w:ind w:left="0"/>
      </w:pPr>
      <w:r w:rsidRPr="006156ED">
        <w:t xml:space="preserve">Nonprofits and PHAs that demonstrate capacity to own and manage these projects but lack sufficient cash resources </w:t>
      </w:r>
      <w:r w:rsidR="007F50EA" w:rsidRPr="006156ED">
        <w:t xml:space="preserve">may request financial assistance from Tierra del Sol Housing Corporation to pay eligible up-front soft costs.  Note: these funds are provided as a </w:t>
      </w:r>
      <w:r w:rsidRPr="006156ED">
        <w:t>forgivable Promissory Note</w:t>
      </w:r>
      <w:r w:rsidR="007F50EA" w:rsidRPr="006156ED">
        <w:t xml:space="preserve">.  Once the </w:t>
      </w:r>
      <w:r w:rsidRPr="006156ED">
        <w:t xml:space="preserve">transfer is completed, the Promissory Note will be forgiven.  </w:t>
      </w:r>
      <w:r w:rsidR="007F50EA" w:rsidRPr="006156ED">
        <w:t xml:space="preserve">However, if </w:t>
      </w:r>
      <w:r w:rsidRPr="006156ED">
        <w:t xml:space="preserve">the transfer is not completed, TDS may require </w:t>
      </w:r>
      <w:r w:rsidR="007F50EA" w:rsidRPr="006156ED">
        <w:t>repayment so the funds are available to a</w:t>
      </w:r>
      <w:r w:rsidRPr="006156ED">
        <w:t>ssist another entity.</w:t>
      </w:r>
    </w:p>
    <w:p w14:paraId="6A7215FD" w14:textId="7F8CF9C8" w:rsidR="009E50A6" w:rsidRPr="006156ED" w:rsidRDefault="009E50A6" w:rsidP="009E50A6">
      <w:pPr>
        <w:widowControl w:val="0"/>
      </w:pPr>
    </w:p>
    <w:p w14:paraId="111A9F00" w14:textId="77777777" w:rsidR="003B073A" w:rsidRPr="006156ED" w:rsidRDefault="003B073A" w:rsidP="003B073A">
      <w:pPr>
        <w:widowControl w:val="0"/>
      </w:pPr>
    </w:p>
    <w:p w14:paraId="0B2A0EDF" w14:textId="7B8E14BE" w:rsidR="003B073A" w:rsidRPr="006156ED" w:rsidRDefault="003B073A" w:rsidP="007F50EA">
      <w:pPr>
        <w:widowControl w:val="0"/>
        <w:jc w:val="center"/>
        <w:rPr>
          <w:b/>
        </w:rPr>
      </w:pPr>
      <w:r w:rsidRPr="006156ED">
        <w:rPr>
          <w:b/>
        </w:rPr>
        <w:t>F</w:t>
      </w:r>
      <w:r w:rsidR="007F50EA" w:rsidRPr="006156ED">
        <w:rPr>
          <w:b/>
        </w:rPr>
        <w:t xml:space="preserve">or additional information, please contact </w:t>
      </w:r>
      <w:r w:rsidRPr="006156ED">
        <w:rPr>
          <w:b/>
        </w:rPr>
        <w:t xml:space="preserve">TIERRA DEL SOL HOUSING CORPORATION </w:t>
      </w:r>
      <w:r w:rsidR="007F50EA" w:rsidRPr="006156ED">
        <w:rPr>
          <w:b/>
        </w:rPr>
        <w:t xml:space="preserve">at 575-541-0477 or by e-mail at </w:t>
      </w:r>
      <w:r w:rsidRPr="006156ED">
        <w:rPr>
          <w:b/>
        </w:rPr>
        <w:t>TDSHC.ORG.</w:t>
      </w:r>
    </w:p>
    <w:p w14:paraId="62D36A2D" w14:textId="77777777" w:rsidR="00425024" w:rsidRPr="006156ED" w:rsidRDefault="00425024" w:rsidP="003B073A">
      <w:pPr>
        <w:widowControl w:val="0"/>
      </w:pPr>
    </w:p>
    <w:sectPr w:rsidR="00425024" w:rsidRPr="006156ED" w:rsidSect="006156E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00ECA"/>
    <w:multiLevelType w:val="hybridMultilevel"/>
    <w:tmpl w:val="B98CAB7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B4CF0"/>
    <w:multiLevelType w:val="hybridMultilevel"/>
    <w:tmpl w:val="18585E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79C1"/>
    <w:multiLevelType w:val="hybridMultilevel"/>
    <w:tmpl w:val="790A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77386"/>
    <w:multiLevelType w:val="hybridMultilevel"/>
    <w:tmpl w:val="1E9A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17CA"/>
    <w:multiLevelType w:val="hybridMultilevel"/>
    <w:tmpl w:val="18585E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3A"/>
    <w:rsid w:val="00015229"/>
    <w:rsid w:val="002B0D3B"/>
    <w:rsid w:val="003B073A"/>
    <w:rsid w:val="00425024"/>
    <w:rsid w:val="006156ED"/>
    <w:rsid w:val="00646639"/>
    <w:rsid w:val="00782566"/>
    <w:rsid w:val="007F50EA"/>
    <w:rsid w:val="009C6BEC"/>
    <w:rsid w:val="009E50A6"/>
    <w:rsid w:val="00A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CE50"/>
  <w15:chartTrackingRefBased/>
  <w15:docId w15:val="{FFA06245-4137-47D3-82D2-F7F2D8C1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SHAW</dc:creator>
  <cp:keywords/>
  <dc:description/>
  <cp:lastModifiedBy>Michael Wilt</cp:lastModifiedBy>
  <cp:revision>2</cp:revision>
  <dcterms:created xsi:type="dcterms:W3CDTF">2018-10-03T20:59:00Z</dcterms:created>
  <dcterms:modified xsi:type="dcterms:W3CDTF">2018-10-03T20:59:00Z</dcterms:modified>
</cp:coreProperties>
</file>